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79DC" w14:textId="77777777" w:rsidR="00F504C2" w:rsidRDefault="00F504C2" w:rsidP="008F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</w:t>
      </w:r>
      <w:r w:rsidR="00DC3DAD">
        <w:rPr>
          <w:rFonts w:ascii="Times New Roman" w:hAnsi="Times New Roman" w:cs="Times New Roman"/>
          <w:b/>
          <w:sz w:val="28"/>
          <w:szCs w:val="28"/>
        </w:rPr>
        <w:t>Р</w:t>
      </w:r>
    </w:p>
    <w:p w14:paraId="02F9B1C9" w14:textId="77777777" w:rsidR="001373F4" w:rsidRDefault="00F504C2" w:rsidP="009203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коррупционных рисков 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по итогам внутреннего 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нализа в деятельности</w:t>
      </w:r>
    </w:p>
    <w:p w14:paraId="40261CB9" w14:textId="77777777" w:rsidR="00F504C2" w:rsidRPr="001373F4" w:rsidRDefault="001373F4" w:rsidP="001373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ГКП на ПХВ «Ветеринарная станция </w:t>
      </w:r>
      <w:r w:rsidR="00597906">
        <w:rPr>
          <w:rFonts w:ascii="Times New Roman" w:hAnsi="Times New Roman" w:cs="Times New Roman"/>
          <w:b/>
          <w:i/>
          <w:sz w:val="24"/>
          <w:szCs w:val="24"/>
        </w:rPr>
        <w:t>Акжарского</w:t>
      </w:r>
      <w:r w:rsidR="005272E7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» КГУ «Управление ветеринарии</w:t>
      </w:r>
      <w:r w:rsidR="00527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7CDE" w:rsidRPr="001373F4">
        <w:rPr>
          <w:rFonts w:ascii="Times New Roman" w:hAnsi="Times New Roman" w:cs="Times New Roman"/>
          <w:b/>
          <w:i/>
          <w:sz w:val="24"/>
          <w:szCs w:val="24"/>
        </w:rPr>
        <w:t>акимата СКО»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79"/>
        <w:gridCol w:w="1443"/>
        <w:gridCol w:w="992"/>
        <w:gridCol w:w="1984"/>
        <w:gridCol w:w="6804"/>
        <w:gridCol w:w="3119"/>
      </w:tblGrid>
      <w:tr w:rsidR="0089526E" w:rsidRPr="00FE22D4" w14:paraId="70A731F2" w14:textId="77777777" w:rsidTr="00824AF7">
        <w:tc>
          <w:tcPr>
            <w:tcW w:w="679" w:type="dxa"/>
          </w:tcPr>
          <w:p w14:paraId="1128C199" w14:textId="77777777"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3" w:type="dxa"/>
          </w:tcPr>
          <w:p w14:paraId="6397D3A3" w14:textId="77777777"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объекта анализа</w:t>
            </w:r>
          </w:p>
        </w:tc>
        <w:tc>
          <w:tcPr>
            <w:tcW w:w="992" w:type="dxa"/>
          </w:tcPr>
          <w:p w14:paraId="529EF1E0" w14:textId="77777777"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36B1FA2A" w14:textId="77777777"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6804" w:type="dxa"/>
          </w:tcPr>
          <w:p w14:paraId="64D6E44A" w14:textId="77777777"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схемы совершения правонарушения</w:t>
            </w:r>
          </w:p>
        </w:tc>
        <w:tc>
          <w:tcPr>
            <w:tcW w:w="3119" w:type="dxa"/>
          </w:tcPr>
          <w:p w14:paraId="2300CC37" w14:textId="77777777"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 об устранении</w:t>
            </w:r>
          </w:p>
        </w:tc>
      </w:tr>
      <w:tr w:rsidR="00B62EFE" w:rsidRPr="00140914" w14:paraId="2D36ACBD" w14:textId="77777777" w:rsidTr="00824AF7">
        <w:trPr>
          <w:cantSplit/>
          <w:trHeight w:val="1134"/>
        </w:trPr>
        <w:tc>
          <w:tcPr>
            <w:tcW w:w="679" w:type="dxa"/>
          </w:tcPr>
          <w:p w14:paraId="5933F431" w14:textId="77777777"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dxa"/>
            <w:textDirection w:val="btLr"/>
          </w:tcPr>
          <w:p w14:paraId="392BEF91" w14:textId="77777777" w:rsidR="00B62EFE" w:rsidRPr="00A61983" w:rsidRDefault="00B62EFE" w:rsidP="00B62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8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 в НПА</w:t>
            </w:r>
          </w:p>
        </w:tc>
        <w:tc>
          <w:tcPr>
            <w:tcW w:w="992" w:type="dxa"/>
          </w:tcPr>
          <w:p w14:paraId="65925980" w14:textId="77777777"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A807CCF" w14:textId="77777777" w:rsidR="0080385A" w:rsidRDefault="0080385A" w:rsidP="008038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Коллизии в нормативных</w:t>
            </w:r>
          </w:p>
          <w:p w14:paraId="6E40EDF5" w14:textId="77777777" w:rsidR="00B62EFE" w:rsidRPr="00FA6850" w:rsidRDefault="0080385A" w:rsidP="0080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правовых актах</w:t>
            </w:r>
          </w:p>
        </w:tc>
        <w:tc>
          <w:tcPr>
            <w:tcW w:w="6804" w:type="dxa"/>
          </w:tcPr>
          <w:p w14:paraId="4BF5CB43" w14:textId="77777777" w:rsidR="003E441F" w:rsidRPr="00AE4A52" w:rsidRDefault="0014091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4A5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1.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Согласно п.17, гл.2 «Правил выдачи ветеринарных документов и требований к их бланкам» утвержденных Приказом МСХ РК от 21.05.2015г., «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при отсутствии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ясных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оттисков ветеринарного 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кле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йма или штампа на мясе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,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кожевенно-меховом сырье, вывозимых за пределы республики, выданные на их вывоз,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ветеринарные сертификаты считаются недействительными.</w:t>
            </w:r>
          </w:p>
          <w:p w14:paraId="2F839B8A" w14:textId="77777777" w:rsidR="00B62EFE" w:rsidRDefault="003C629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п.39. данных Правил, «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ветеринарная справка на мясо и мясопродукты (субпродукты) выдается при наличии оттиска ветеринарного клейма или штампа, нанесенного в порядке согласно Ветеринарно-санитарным правилам»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В данной норме не предусмотрены условия признания ветеринарной справки не действите</w:t>
            </w:r>
            <w:r w:rsidR="007A08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льной, в случае, если не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возможно определить место выхода продукции по оттиску клейма. Такой пробел в законодательстве </w:t>
            </w:r>
            <w:r w:rsidR="003E441F" w:rsidRPr="00AE4A52"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  <w:t>дает возможность ветеринарным специалистам выдавать ветеринарные справки на мясо без использования объектов убоя и непосредственного осмотра продукции.</w:t>
            </w:r>
          </w:p>
          <w:p w14:paraId="66F2BA92" w14:textId="77777777" w:rsidR="003C6294" w:rsidRPr="00AE4A52" w:rsidRDefault="003C6294" w:rsidP="003E441F">
            <w:pPr>
              <w:pBdr>
                <w:bottom w:val="single" w:sz="4" w:space="31" w:color="FFFFFF"/>
              </w:pBd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</w:pPr>
          </w:p>
          <w:p w14:paraId="08EC7126" w14:textId="77777777" w:rsidR="00AE4A52" w:rsidRPr="00AE4A52" w:rsidRDefault="003C6294" w:rsidP="00AE4A52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В</w:t>
            </w:r>
            <w:r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 п.п.3 п.37 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«Правил формирования и ведения базы данных по идентификации сельскохозяйственных животных и выдачи выписки из нее» </w:t>
            </w:r>
            <w:r w:rsidR="00AE4A52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(приказ МСХ РК №367 от 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.06.2010 г.)- 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 перечень сведений, согласно которых в базу ИСЖ вносятся (обновляются) данные при перемещении животных. В указанном перечне отсутствуют нормы, обязывающие ветеринарного специалиста указывать (прикреплять документ или ссылку) ветеринарный документ, сопровождающий перемещаемое животное, тогда как перемещение животных осуществляется в сопровождении ветеринарного документа, согласно п. 3 «Правил осуществления транспортировки перемещаемых (перевозимых) объектов на территории Республики Казахстан» </w:t>
            </w:r>
            <w:r w:rsidR="00AE4A52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(МСХ РК от 29 мая 2015 года № 7-1/496).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Таким образом, возникают условия при которых ветеринарный специалист, имеет возможность фальсифицировать сведения базы ИСЖ, путем внесения данных о животных, ранее снятых с учета по причине продажи и использовать эти данные для выдачи фальсифицированных ветеринарных справок.</w:t>
            </w:r>
          </w:p>
          <w:p w14:paraId="71BD66D0" w14:textId="77777777" w:rsidR="00AE4A52" w:rsidRPr="00AE4A52" w:rsidRDefault="00AE4A52" w:rsidP="003E441F">
            <w:pPr>
              <w:pBdr>
                <w:bottom w:val="single" w:sz="4" w:space="31" w:color="FFFFFF"/>
              </w:pBd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A1E399E" w14:textId="77777777" w:rsidR="003C6294" w:rsidRDefault="0014091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1.Внести предложение о внесении дополнений в Правила выдачи ветеринарных документов, где будут определены нормы о признании ветеринарного документа недействительным, по причине отсутствия ясного оттиска клейма в отношении ветеринарной справки.</w:t>
            </w:r>
          </w:p>
          <w:p w14:paraId="44952635" w14:textId="77777777"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7A7DB" w14:textId="77777777"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F45EA" w14:textId="77777777"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9F52D" w14:textId="77777777"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FB103" w14:textId="77777777" w:rsidR="003C6294" w:rsidRPr="003C6294" w:rsidRDefault="003C629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2.Внести предложение о внесение дополнений в «Правила формирования и ведения базы данных по идентификации сельскохозяйственных животных и выдачи выписки из нее» (приказ МСХ РК №367 от 02.06.2010 г.),а так же дополнений в функционал информационной системы ИСЖ, обязывающий ветеринарных врачей при постановке животных на учет по причине приобретения, вносить сведения о ветеринарном документе, подтверждающем происхождение животного, либо ссылку на электронную копию такого документа выданного посредством системы ЕАСУ. В случае отсутствия ветеринарного документа, постановку на учет животного осуществлять после проведения его карантинирования и привлечения владельца к административной ответственности.</w:t>
            </w:r>
          </w:p>
          <w:p w14:paraId="3CC6AF0F" w14:textId="77777777" w:rsidR="00B62EFE" w:rsidRPr="003C6294" w:rsidRDefault="00B62EFE" w:rsidP="00666BD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780" w:rsidRPr="00FE22D4" w14:paraId="35E86EE2" w14:textId="77777777" w:rsidTr="00824AF7">
        <w:tc>
          <w:tcPr>
            <w:tcW w:w="679" w:type="dxa"/>
          </w:tcPr>
          <w:p w14:paraId="258DA3C8" w14:textId="77777777" w:rsidR="00517780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5D0F052" w14:textId="77777777" w:rsidR="00517780" w:rsidRPr="0097127A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A04A42" w14:textId="77777777" w:rsidR="00517780" w:rsidRPr="0097127A" w:rsidRDefault="004E5279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1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F4DC953" w14:textId="77777777" w:rsidR="00517780" w:rsidRPr="00102C99" w:rsidRDefault="0080385A" w:rsidP="003648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Риски в</w:t>
            </w:r>
            <w:r w:rsidR="008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оказании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4D0C37">
              <w:rPr>
                <w:rFonts w:ascii="Times New Roman" w:hAnsi="Times New Roman" w:cs="Times New Roman"/>
                <w:i/>
                <w:sz w:val="24"/>
                <w:szCs w:val="24"/>
              </w:rPr>
              <w:t>осударствен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услугах и системе ЕАСУ</w:t>
            </w:r>
          </w:p>
        </w:tc>
        <w:tc>
          <w:tcPr>
            <w:tcW w:w="6804" w:type="dxa"/>
          </w:tcPr>
          <w:p w14:paraId="76315F06" w14:textId="77777777"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В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ходе анализа дисциплинарных взысканий сотрудников предприятия установлено, что меры за нарушение порядка оказания государственных услу</w:t>
            </w:r>
            <w:r w:rsidR="007A080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75EAA">
              <w:rPr>
                <w:rFonts w:ascii="Times New Roman" w:hAnsi="Times New Roman" w:cs="Times New Roman"/>
                <w:sz w:val="18"/>
                <w:szCs w:val="18"/>
              </w:rPr>
              <w:t xml:space="preserve"> привлечено к ответственности 2 специалист или 3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% от общего числа наказанных сотрудников. Данный факт свидетельствует о </w:t>
            </w:r>
            <w:r w:rsidR="008D4CD7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3C08E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D4CD7">
              <w:rPr>
                <w:rFonts w:ascii="Times New Roman" w:hAnsi="Times New Roman" w:cs="Times New Roman"/>
                <w:sz w:val="18"/>
                <w:szCs w:val="18"/>
              </w:rPr>
              <w:t xml:space="preserve"> что необходимо продолжить работу по 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обучению сотрудников предприятия о порядке оказания государственных услуг. </w:t>
            </w:r>
          </w:p>
          <w:p w14:paraId="5F175C45" w14:textId="77777777"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B9CE8" w14:textId="77777777"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D0C3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системе "ЕАСУ" отсутствует функционал, позволяющий руководителю государственной  ветеринарной организации определять ответственного исполнителя государственной услуги при рассмотрении заявки, внесенной в информационную систему, что позволит обеспечить прозрачность принимаемых решений. При условии, что прямого контакта между услугодателем и услугополучателем избежать не представляется возможным </w:t>
            </w:r>
            <w:r w:rsidRPr="004D0C37">
              <w:rPr>
                <w:rFonts w:ascii="Times New Roman" w:hAnsi="Times New Roman" w:cs="Times New Roman"/>
                <w:i/>
                <w:sz w:val="18"/>
                <w:szCs w:val="18"/>
              </w:rPr>
              <w:t>(необходимость осмотра перемещаемого объекта, транспортного средства, условий транспортировки, маркировки продукции и т.д.)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введение электронного визирования заявок снизит риск нарушений при оказании государственных услуг.</w:t>
            </w:r>
          </w:p>
          <w:p w14:paraId="6FFF41F3" w14:textId="77777777" w:rsidR="00A31E7C" w:rsidRDefault="00A31E7C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20708" w14:textId="77777777" w:rsidR="00D419E4" w:rsidRDefault="00D419E4" w:rsidP="00DC3D99">
            <w:pPr>
              <w:pBdr>
                <w:bottom w:val="single" w:sz="4" w:space="31" w:color="FFFFFF"/>
              </w:pBd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DC3D99">
              <w:rPr>
                <w:rFonts w:ascii="Times New Roman" w:hAnsi="Times New Roman" w:cs="Times New Roman"/>
                <w:sz w:val="18"/>
                <w:szCs w:val="18"/>
              </w:rPr>
              <w:t>Осуществление выезда для сверки сведений о сельскохозяйственных животных</w:t>
            </w:r>
            <w:r w:rsidRPr="00D419E4">
              <w:rPr>
                <w:rFonts w:ascii="Times New Roman" w:hAnsi="Times New Roman" w:cs="Times New Roman"/>
                <w:sz w:val="18"/>
                <w:szCs w:val="18"/>
              </w:rPr>
              <w:t xml:space="preserve"> создает условия для коррупции. </w:t>
            </w:r>
            <w:r w:rsidR="00DC3D99" w:rsidRP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Выписка о проведении актуализации (корректировки) сведений о сельскохозяйственных животных оформляется в электронной форме, заверяется ЭЦП руководителя </w:t>
            </w:r>
            <w:proofErr w:type="spellStart"/>
            <w:r w:rsidR="00DC3D99" w:rsidRP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услугода</w:t>
            </w:r>
            <w:r w:rsid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теля</w:t>
            </w:r>
            <w:proofErr w:type="spellEnd"/>
            <w:r w:rsid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, направляется в личный каби</w:t>
            </w:r>
            <w:r w:rsidR="00DC3D99" w:rsidRP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нет </w:t>
            </w:r>
            <w:proofErr w:type="spellStart"/>
            <w:r w:rsidR="00DC3D99" w:rsidRP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услугополучателя</w:t>
            </w:r>
            <w:proofErr w:type="spellEnd"/>
            <w:r w:rsidR="00DC3D99" w:rsidRPr="00DC3D99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на портале, либо выдается нарочно</w:t>
            </w:r>
            <w:r w:rsidRPr="00D419E4">
              <w:rPr>
                <w:rFonts w:ascii="Times New Roman" w:hAnsi="Times New Roman" w:cs="Times New Roman"/>
                <w:sz w:val="18"/>
                <w:szCs w:val="18"/>
              </w:rPr>
              <w:t>, через прям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контакт услуго</w:t>
            </w:r>
            <w:r w:rsidRPr="00D419E4">
              <w:rPr>
                <w:rFonts w:ascii="Times New Roman" w:hAnsi="Times New Roman" w:cs="Times New Roman"/>
                <w:sz w:val="18"/>
                <w:szCs w:val="18"/>
              </w:rPr>
              <w:t>дателя с услугополучателем.</w:t>
            </w:r>
          </w:p>
          <w:p w14:paraId="33248C35" w14:textId="77777777" w:rsidR="00D419E4" w:rsidRPr="004D0C37" w:rsidRDefault="00D419E4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39FFA" w14:textId="77777777" w:rsidR="004D0C37" w:rsidRP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D01AE" w14:textId="77777777" w:rsidR="00517780" w:rsidRPr="00FA6850" w:rsidRDefault="00517780" w:rsidP="0010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6F62B1A" w14:textId="77777777" w:rsidR="004D0C37" w:rsidRPr="004D0C37" w:rsidRDefault="004D0C37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Специалисту по контролю за оказанием государственных услуг </w:t>
            </w:r>
            <w:r w:rsidR="00597906">
              <w:rPr>
                <w:rFonts w:ascii="Times New Roman" w:eastAsia="Times New Roman" w:hAnsi="Times New Roman" w:cs="Times New Roman"/>
                <w:sz w:val="18"/>
                <w:szCs w:val="18"/>
              </w:rPr>
              <w:t>Мусину Т.Ж.</w:t>
            </w: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составить план работы и обеспечить его исполнение по изучению ветеринарными специалистами порядка оказания государственных услуг. Рабочей группе обеспечить контроль по исполнению данного плана.</w:t>
            </w:r>
          </w:p>
          <w:p w14:paraId="5CE07BCE" w14:textId="77777777"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2.Внести предложение по разработке и добавлению в информационную систему 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ЕАСУ новый функционал, исключающий из бизнес-процесса требования по направлению заявления на бумажном носителе руководителю государственной ветеринарной организации для определения ответственного исполнителя.</w:t>
            </w:r>
          </w:p>
          <w:p w14:paraId="2AFA7550" w14:textId="77777777" w:rsidR="00D419E4" w:rsidRPr="00DC3D99" w:rsidRDefault="00D419E4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C3D99" w:rsidRPr="00DC3D99">
              <w:rPr>
                <w:rFonts w:ascii="Times New Roman" w:hAnsi="Times New Roman" w:cs="Times New Roman"/>
                <w:sz w:val="18"/>
                <w:szCs w:val="18"/>
              </w:rPr>
              <w:t>Осуществлять выезд непосредственно с представителями местных исполнительных органов.</w:t>
            </w:r>
            <w:r w:rsidR="00DC3D99" w:rsidRPr="00DC3D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  <w:p w14:paraId="657351FB" w14:textId="77777777" w:rsidR="004D0C37" w:rsidRPr="00D419E4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1CF4CF" w14:textId="77777777" w:rsidR="00517780" w:rsidRPr="004D0C37" w:rsidRDefault="00517780" w:rsidP="0061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E6EC2C" w14:textId="77777777" w:rsidR="00C27EB6" w:rsidRDefault="00C27EB6" w:rsidP="0002555D">
      <w:pPr>
        <w:rPr>
          <w:rFonts w:ascii="Times New Roman" w:hAnsi="Times New Roman" w:cs="Times New Roman"/>
          <w:sz w:val="28"/>
          <w:szCs w:val="28"/>
        </w:rPr>
      </w:pPr>
    </w:p>
    <w:sectPr w:rsidR="00C27EB6" w:rsidSect="003C629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1FF9"/>
    <w:multiLevelType w:val="hybridMultilevel"/>
    <w:tmpl w:val="3D8C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8707F"/>
    <w:multiLevelType w:val="hybridMultilevel"/>
    <w:tmpl w:val="31169C9E"/>
    <w:lvl w:ilvl="0" w:tplc="1ACC6050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186215">
    <w:abstractNumId w:val="0"/>
  </w:num>
  <w:num w:numId="2" w16cid:durableId="66265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4C2"/>
    <w:rsid w:val="000065BB"/>
    <w:rsid w:val="00007F0C"/>
    <w:rsid w:val="0002555D"/>
    <w:rsid w:val="0004401B"/>
    <w:rsid w:val="000567A0"/>
    <w:rsid w:val="00070CA4"/>
    <w:rsid w:val="000841DF"/>
    <w:rsid w:val="000C4C42"/>
    <w:rsid w:val="000F1554"/>
    <w:rsid w:val="00102C99"/>
    <w:rsid w:val="001373F4"/>
    <w:rsid w:val="00140914"/>
    <w:rsid w:val="00150A2E"/>
    <w:rsid w:val="00175421"/>
    <w:rsid w:val="001C233E"/>
    <w:rsid w:val="001F1B0B"/>
    <w:rsid w:val="00227553"/>
    <w:rsid w:val="002379BD"/>
    <w:rsid w:val="00271F89"/>
    <w:rsid w:val="002B255A"/>
    <w:rsid w:val="002E4A97"/>
    <w:rsid w:val="002F5705"/>
    <w:rsid w:val="00354A4B"/>
    <w:rsid w:val="003648E8"/>
    <w:rsid w:val="0039548B"/>
    <w:rsid w:val="003A5892"/>
    <w:rsid w:val="003C08E3"/>
    <w:rsid w:val="003C6294"/>
    <w:rsid w:val="003D0065"/>
    <w:rsid w:val="003E441F"/>
    <w:rsid w:val="003F6509"/>
    <w:rsid w:val="003F7897"/>
    <w:rsid w:val="0044362B"/>
    <w:rsid w:val="00475E39"/>
    <w:rsid w:val="00481B59"/>
    <w:rsid w:val="00496497"/>
    <w:rsid w:val="004D0C37"/>
    <w:rsid w:val="004E030B"/>
    <w:rsid w:val="004E5279"/>
    <w:rsid w:val="00512A0D"/>
    <w:rsid w:val="005157ED"/>
    <w:rsid w:val="00517780"/>
    <w:rsid w:val="005241D1"/>
    <w:rsid w:val="005272E7"/>
    <w:rsid w:val="00542999"/>
    <w:rsid w:val="00580A0D"/>
    <w:rsid w:val="00586A06"/>
    <w:rsid w:val="00597906"/>
    <w:rsid w:val="005A0533"/>
    <w:rsid w:val="005C379B"/>
    <w:rsid w:val="005C6F1B"/>
    <w:rsid w:val="005D50B5"/>
    <w:rsid w:val="005E62DB"/>
    <w:rsid w:val="0060628C"/>
    <w:rsid w:val="00606F76"/>
    <w:rsid w:val="006306E1"/>
    <w:rsid w:val="0063502E"/>
    <w:rsid w:val="00666BD4"/>
    <w:rsid w:val="006868CD"/>
    <w:rsid w:val="006F515D"/>
    <w:rsid w:val="00714A95"/>
    <w:rsid w:val="00731734"/>
    <w:rsid w:val="00742A77"/>
    <w:rsid w:val="00743AF1"/>
    <w:rsid w:val="00751A28"/>
    <w:rsid w:val="00782173"/>
    <w:rsid w:val="007A080F"/>
    <w:rsid w:val="007B5E5C"/>
    <w:rsid w:val="007D0416"/>
    <w:rsid w:val="007E454F"/>
    <w:rsid w:val="007F07BD"/>
    <w:rsid w:val="00802BD9"/>
    <w:rsid w:val="0080385A"/>
    <w:rsid w:val="00821BD7"/>
    <w:rsid w:val="00824AF7"/>
    <w:rsid w:val="008276ED"/>
    <w:rsid w:val="00841815"/>
    <w:rsid w:val="00874450"/>
    <w:rsid w:val="00882020"/>
    <w:rsid w:val="0089526E"/>
    <w:rsid w:val="008C1569"/>
    <w:rsid w:val="008D4CD7"/>
    <w:rsid w:val="008D5439"/>
    <w:rsid w:val="008D75E0"/>
    <w:rsid w:val="008F51DC"/>
    <w:rsid w:val="008F678B"/>
    <w:rsid w:val="008F7CDE"/>
    <w:rsid w:val="009168B0"/>
    <w:rsid w:val="009203A6"/>
    <w:rsid w:val="00931C9B"/>
    <w:rsid w:val="0097127A"/>
    <w:rsid w:val="009A3093"/>
    <w:rsid w:val="009C3E44"/>
    <w:rsid w:val="009E56D0"/>
    <w:rsid w:val="009F5EB1"/>
    <w:rsid w:val="00A31E7C"/>
    <w:rsid w:val="00A36EA0"/>
    <w:rsid w:val="00A40015"/>
    <w:rsid w:val="00A61983"/>
    <w:rsid w:val="00A75EAA"/>
    <w:rsid w:val="00A83A54"/>
    <w:rsid w:val="00A92C8F"/>
    <w:rsid w:val="00AC5CBE"/>
    <w:rsid w:val="00AE293C"/>
    <w:rsid w:val="00AE4A52"/>
    <w:rsid w:val="00AE582B"/>
    <w:rsid w:val="00AE7A21"/>
    <w:rsid w:val="00B142D8"/>
    <w:rsid w:val="00B2420B"/>
    <w:rsid w:val="00B27E1D"/>
    <w:rsid w:val="00B353D0"/>
    <w:rsid w:val="00B62EFE"/>
    <w:rsid w:val="00B75955"/>
    <w:rsid w:val="00B816E3"/>
    <w:rsid w:val="00B97697"/>
    <w:rsid w:val="00BB0F38"/>
    <w:rsid w:val="00BD067E"/>
    <w:rsid w:val="00BD6ABE"/>
    <w:rsid w:val="00BE6DD2"/>
    <w:rsid w:val="00BF4A6C"/>
    <w:rsid w:val="00C0143A"/>
    <w:rsid w:val="00C223C7"/>
    <w:rsid w:val="00C27EB6"/>
    <w:rsid w:val="00C30FE7"/>
    <w:rsid w:val="00C36E93"/>
    <w:rsid w:val="00CD0F83"/>
    <w:rsid w:val="00CE49FF"/>
    <w:rsid w:val="00CE7250"/>
    <w:rsid w:val="00CF305B"/>
    <w:rsid w:val="00CF50F3"/>
    <w:rsid w:val="00D419E4"/>
    <w:rsid w:val="00D50398"/>
    <w:rsid w:val="00D51B8D"/>
    <w:rsid w:val="00D67AC0"/>
    <w:rsid w:val="00DA6355"/>
    <w:rsid w:val="00DB28CF"/>
    <w:rsid w:val="00DB7BBB"/>
    <w:rsid w:val="00DC3D99"/>
    <w:rsid w:val="00DC3DAD"/>
    <w:rsid w:val="00E13A2A"/>
    <w:rsid w:val="00E529DE"/>
    <w:rsid w:val="00E662AC"/>
    <w:rsid w:val="00E96DE1"/>
    <w:rsid w:val="00EB7F66"/>
    <w:rsid w:val="00ED3C60"/>
    <w:rsid w:val="00F0194C"/>
    <w:rsid w:val="00F1531B"/>
    <w:rsid w:val="00F2594E"/>
    <w:rsid w:val="00F3030F"/>
    <w:rsid w:val="00F504C2"/>
    <w:rsid w:val="00F844BB"/>
    <w:rsid w:val="00FA6850"/>
    <w:rsid w:val="00FB1017"/>
    <w:rsid w:val="00FB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F3D1"/>
  <w15:docId w15:val="{454FD9A5-0751-49E1-87E5-3B150B6F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4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4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4EFB-7BC1-4884-A129-BF97A891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Брюнина</dc:creator>
  <cp:lastModifiedBy>Акжарского района Ветеринарная станция</cp:lastModifiedBy>
  <cp:revision>17</cp:revision>
  <cp:lastPrinted>2022-08-18T09:27:00Z</cp:lastPrinted>
  <dcterms:created xsi:type="dcterms:W3CDTF">2022-08-23T11:46:00Z</dcterms:created>
  <dcterms:modified xsi:type="dcterms:W3CDTF">2025-08-04T12:21:00Z</dcterms:modified>
</cp:coreProperties>
</file>